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9D6626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771525" cy="342900"/>
            <wp:effectExtent l="19050" t="0" r="9525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5606E3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1327E0">
        <w:rPr>
          <w:rFonts w:ascii="Verdana" w:hAnsi="Verdana"/>
          <w:i w:val="0"/>
          <w:color w:val="0067AC"/>
          <w:sz w:val="36"/>
        </w:rPr>
        <w:t>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5731"/>
        <w:gridCol w:w="8885"/>
      </w:tblGrid>
      <w:tr w:rsidR="000D490C" w:rsidRPr="00121429">
        <w:trPr>
          <w:trHeight w:val="2844"/>
        </w:trPr>
        <w:tc>
          <w:tcPr>
            <w:tcW w:w="5731" w:type="dxa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C35921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06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  <w:r w:rsidR="000D490C">
                    <w:rPr>
                      <w:rFonts w:ascii="Verdana" w:hAnsi="Verdana" w:cs="Verdana"/>
                      <w:snapToGrid w:val="0"/>
                      <w:sz w:val="16"/>
                    </w:rPr>
                    <w:t>(</w:t>
                  </w:r>
                  <w:r w:rsidR="00C35921">
                    <w:rPr>
                      <w:rFonts w:ascii="Verdana" w:hAnsi="Verdana" w:cs="Verdana"/>
                      <w:snapToGrid w:val="0"/>
                      <w:sz w:val="16"/>
                    </w:rPr>
                    <w:t>Friday</w:t>
                  </w:r>
                  <w:r w:rsidR="000D490C" w:rsidRPr="004D3752">
                    <w:rPr>
                      <w:rFonts w:ascii="Verdana" w:hAnsi="Verdana" w:cs="Verdana"/>
                      <w:snapToGrid w:val="0"/>
                      <w:sz w:val="16"/>
                    </w:rPr>
                    <w:t>)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27BC5" w:rsidRDefault="005606E3" w:rsidP="00706FAF">
                  <w:pPr>
                    <w:rPr>
                      <w:rFonts w:ascii="Verdana" w:hAnsi="Verdana" w:cs="Verdana"/>
                      <w:snapToGrid w:val="0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11: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EDT (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10: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CT,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9: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MT,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8: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>PT)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27BC5" w:rsidRDefault="00490ADD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Pr="00490ADD" w:rsidRDefault="000D490C" w:rsidP="00490A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F1143D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F1143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8885" w:type="dxa"/>
          </w:tcPr>
          <w:p w:rsidR="000D490C" w:rsidRPr="00427BC5" w:rsidRDefault="000D490C" w:rsidP="0027130A">
            <w:pPr>
              <w:spacing w:before="120"/>
              <w:rPr>
                <w:rFonts w:ascii="Verdana" w:hAnsi="Verdana" w:cs="Verdana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Marcia Rhodus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314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694</w:t>
            </w:r>
            <w:r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8759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sz w:val="22"/>
              </w:rPr>
              <w:t>marcia.k.rhodus@monsanto.com</w:t>
            </w:r>
            <w:r>
              <w:rPr>
                <w:rFonts w:ascii="Verdana" w:hAnsi="Verdana" w:cs="Verdana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6D2613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>Nappelquist@entira.net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</w:p>
          <w:p w:rsidR="000D490C" w:rsidRPr="00351944" w:rsidRDefault="009D6626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32"/>
              <w:gridCol w:w="4337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="009D78E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X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Agrian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9D78E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Entira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Pr="006D2613" w:rsidRDefault="005D3D8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Rod Conner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D78E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(Wilbur Ellis)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9D78E9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0D490C" w:rsidRPr="00FE74F3" w:rsidRDefault="000D490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5606E3"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Marilyn Hunter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6D2613" w:rsidRPr="006D2613" w:rsidRDefault="006D2613" w:rsidP="001327E0">
                  <w:pPr>
                    <w:ind w:left="567" w:hanging="540"/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9D78E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NA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(Bayer </w:t>
                  </w:r>
                  <w:proofErr w:type="spellStart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Cropscience</w:t>
                  </w:r>
                  <w:proofErr w:type="spellEnd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2613" w:rsidRDefault="006D2613" w:rsidP="00255E24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Jessica Perry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(Mosiac Co)</w:t>
                  </w:r>
                </w:p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9D78E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9D78E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 Frank Rydl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(Key Cooperative)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9D78E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D78E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Pr="006D2613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9D78E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0D490C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2"/>
                    </w:rPr>
                  </w:pP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0D490C" w:rsidRPr="008C18F0" w:rsidRDefault="000D490C" w:rsidP="0027130A">
      <w:pPr>
        <w:rPr>
          <w:rFonts w:ascii="Verdana" w:hAnsi="Verdana" w:cs="Verdana"/>
          <w:b/>
          <w:bCs/>
          <w:color w:val="0067AC"/>
          <w:sz w:val="32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BF"/>
      </w:tblPr>
      <w:tblGrid>
        <w:gridCol w:w="7"/>
        <w:gridCol w:w="1411"/>
        <w:gridCol w:w="1031"/>
        <w:gridCol w:w="830"/>
        <w:gridCol w:w="1060"/>
        <w:gridCol w:w="289"/>
        <w:gridCol w:w="2410"/>
        <w:gridCol w:w="213"/>
        <w:gridCol w:w="7993"/>
        <w:gridCol w:w="54"/>
      </w:tblGrid>
      <w:tr w:rsidR="000D490C" w:rsidTr="000723D1">
        <w:trPr>
          <w:gridBefore w:val="1"/>
          <w:gridAfter w:val="5"/>
          <w:wBefore w:w="7" w:type="dxa"/>
          <w:wAfter w:w="10959" w:type="dxa"/>
          <w:trHeight w:val="68"/>
        </w:trPr>
        <w:tc>
          <w:tcPr>
            <w:tcW w:w="1411" w:type="dxa"/>
          </w:tcPr>
          <w:p w:rsidR="000D490C" w:rsidRPr="004D3752" w:rsidRDefault="009D6626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19050" t="0" r="0" b="0"/>
                  <wp:docPr id="7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gridSpan w:val="3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gridAfter w:val="1"/>
          <w:wBefore w:w="7" w:type="dxa"/>
          <w:wAfter w:w="54" w:type="dxa"/>
          <w:cantSplit/>
          <w:trHeight w:val="68"/>
          <w:tblHeader/>
        </w:trPr>
        <w:tc>
          <w:tcPr>
            <w:tcW w:w="3272" w:type="dxa"/>
            <w:gridSpan w:val="3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2410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8206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gridAfter w:val="1"/>
          <w:wBefore w:w="7" w:type="dxa"/>
          <w:wAfter w:w="54" w:type="dxa"/>
          <w:cantSplit/>
          <w:trHeight w:val="68"/>
        </w:trPr>
        <w:tc>
          <w:tcPr>
            <w:tcW w:w="3272" w:type="dxa"/>
            <w:gridSpan w:val="3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49" w:type="dxa"/>
            <w:gridSpan w:val="2"/>
            <w:vMerge w:val="restart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8206" w:type="dxa"/>
            <w:gridSpan w:val="2"/>
          </w:tcPr>
          <w:p w:rsidR="000D490C" w:rsidRPr="009D78E9" w:rsidRDefault="000D490C" w:rsidP="009D78E9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D78E9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 w:rsidR="001327E0" w:rsidRPr="009D78E9"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>Lori Gasso</w:t>
            </w:r>
            <w:r w:rsidR="009D78E9"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 xml:space="preserve"> was scheduled; Frank Rydl took the meeting notes in her absence</w:t>
            </w:r>
          </w:p>
        </w:tc>
      </w:tr>
      <w:tr w:rsidR="000D490C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gridAfter w:val="1"/>
          <w:wBefore w:w="7" w:type="dxa"/>
          <w:wAfter w:w="54" w:type="dxa"/>
          <w:cantSplit/>
          <w:trHeight w:val="68"/>
        </w:trPr>
        <w:tc>
          <w:tcPr>
            <w:tcW w:w="3272" w:type="dxa"/>
            <w:gridSpan w:val="3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4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8206" w:type="dxa"/>
            <w:gridSpan w:val="2"/>
          </w:tcPr>
          <w:p w:rsidR="000D490C" w:rsidRPr="009D78E9" w:rsidRDefault="009D78E9" w:rsidP="009D78E9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D78E9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All agreed to abide by the guideline</w:t>
            </w:r>
          </w:p>
        </w:tc>
      </w:tr>
      <w:tr w:rsidR="000D490C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gridAfter w:val="1"/>
          <w:wBefore w:w="7" w:type="dxa"/>
          <w:wAfter w:w="54" w:type="dxa"/>
          <w:cantSplit/>
          <w:trHeight w:val="68"/>
        </w:trPr>
        <w:tc>
          <w:tcPr>
            <w:tcW w:w="3272" w:type="dxa"/>
            <w:gridSpan w:val="3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for the 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>12/15/2011 Meeting</w:t>
            </w:r>
          </w:p>
        </w:tc>
        <w:tc>
          <w:tcPr>
            <w:tcW w:w="8206" w:type="dxa"/>
            <w:gridSpan w:val="2"/>
          </w:tcPr>
          <w:p w:rsidR="000D490C" w:rsidRPr="000F49CC" w:rsidRDefault="000F49CC" w:rsidP="00281AD4">
            <w:pPr>
              <w:pStyle w:val="ListParagraph"/>
              <w:spacing w:after="120"/>
              <w:ind w:left="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0F49CC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Dave/Nancy to approve the December 15 meeting minutes – Unanimously approved</w:t>
            </w:r>
          </w:p>
        </w:tc>
      </w:tr>
      <w:tr w:rsidR="000D490C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gridAfter w:val="1"/>
          <w:wBefore w:w="7" w:type="dxa"/>
          <w:wAfter w:w="54" w:type="dxa"/>
          <w:cantSplit/>
          <w:trHeight w:val="68"/>
        </w:trPr>
        <w:tc>
          <w:tcPr>
            <w:tcW w:w="3272" w:type="dxa"/>
            <w:gridSpan w:val="3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lastRenderedPageBreak/>
              <w:t>Review Action Items from last meeting</w:t>
            </w:r>
          </w:p>
        </w:tc>
        <w:tc>
          <w:tcPr>
            <w:tcW w:w="1349" w:type="dxa"/>
            <w:gridSpan w:val="2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8206" w:type="dxa"/>
            <w:gridSpan w:val="2"/>
          </w:tcPr>
          <w:p w:rsidR="000D490C" w:rsidRPr="000F49CC" w:rsidRDefault="000F49CC" w:rsidP="000F49CC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Reviewed the agenda prior to starting the formal portion of the meeting. Reviewed action items – see notes in the Action Item section which follows the agenda.</w:t>
            </w:r>
          </w:p>
        </w:tc>
      </w:tr>
      <w:tr w:rsidR="000D490C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gridAfter w:val="1"/>
          <w:wBefore w:w="7" w:type="dxa"/>
          <w:wAfter w:w="54" w:type="dxa"/>
          <w:cantSplit/>
          <w:trHeight w:val="68"/>
        </w:trPr>
        <w:tc>
          <w:tcPr>
            <w:tcW w:w="3272" w:type="dxa"/>
            <w:gridSpan w:val="3"/>
          </w:tcPr>
          <w:p w:rsidR="000D490C" w:rsidRPr="004250C9" w:rsidRDefault="00200F15" w:rsidP="0046126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br w:type="page"/>
            </w:r>
            <w:r w:rsidR="00916BD8">
              <w:rPr>
                <w:rFonts w:ascii="Verdana" w:hAnsi="Verdana" w:cs="Verdana"/>
                <w:sz w:val="20"/>
                <w:szCs w:val="20"/>
              </w:rPr>
              <w:t>Jan/Feb Newsletter Planning</w:t>
            </w:r>
          </w:p>
        </w:tc>
        <w:tc>
          <w:tcPr>
            <w:tcW w:w="1349" w:type="dxa"/>
            <w:gridSpan w:val="2"/>
          </w:tcPr>
          <w:p w:rsidR="000D490C" w:rsidRPr="00D9149A" w:rsidRDefault="00D66362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9149A"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D9149A" w:rsidRPr="00D9149A">
              <w:rPr>
                <w:rFonts w:ascii="Verdana" w:hAnsi="Verdana" w:cs="Verdana"/>
                <w:color w:val="000000"/>
                <w:sz w:val="20"/>
                <w:szCs w:val="20"/>
              </w:rPr>
              <w:t>Appelquist</w:t>
            </w:r>
          </w:p>
        </w:tc>
        <w:tc>
          <w:tcPr>
            <w:tcW w:w="2410" w:type="dxa"/>
          </w:tcPr>
          <w:p w:rsidR="000D490C" w:rsidRPr="004250C9" w:rsidRDefault="005E509C" w:rsidP="00A230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 for Jan/Feb newsletter in place</w:t>
            </w:r>
          </w:p>
        </w:tc>
        <w:tc>
          <w:tcPr>
            <w:tcW w:w="8206" w:type="dxa"/>
            <w:gridSpan w:val="2"/>
          </w:tcPr>
          <w:p w:rsidR="001327E0" w:rsidRDefault="008C79ED" w:rsidP="00C54AF0">
            <w:pPr>
              <w:autoSpaceDE w:val="0"/>
              <w:autoSpaceDN w:val="0"/>
              <w:spacing w:after="60"/>
              <w:ind w:left="24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9D78E9">
              <w:rPr>
                <w:rFonts w:ascii="Verdana" w:hAnsi="Verdana"/>
                <w:i/>
                <w:color w:val="0000FF"/>
                <w:sz w:val="20"/>
                <w:szCs w:val="20"/>
              </w:rPr>
              <w:t>Proposed Articles from Dec. 15</w:t>
            </w:r>
            <w:r w:rsidRPr="009D78E9">
              <w:rPr>
                <w:rFonts w:ascii="Verdana" w:hAnsi="Verdana"/>
                <w:i/>
                <w:color w:val="0000FF"/>
                <w:sz w:val="20"/>
                <w:szCs w:val="20"/>
                <w:vertAlign w:val="superscript"/>
              </w:rPr>
              <w:t>th</w:t>
            </w:r>
            <w:r w:rsidRPr="009D78E9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meeting:</w:t>
            </w:r>
          </w:p>
          <w:p w:rsidR="000F49CC" w:rsidRDefault="000F49CC" w:rsidP="00C54AF0">
            <w:pPr>
              <w:autoSpaceDE w:val="0"/>
              <w:autoSpaceDN w:val="0"/>
              <w:spacing w:after="60"/>
              <w:ind w:left="24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0F49CC">
              <w:rPr>
                <w:rFonts w:ascii="Verdana" w:hAnsi="Verdana"/>
                <w:b/>
                <w:i/>
                <w:color w:val="0000FF"/>
                <w:sz w:val="20"/>
                <w:szCs w:val="20"/>
              </w:rPr>
              <w:t>ACTION: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Nancy will revise the deadlines for Newsletter and send to Frank for inclusion in the notes </w:t>
            </w:r>
          </w:p>
          <w:p w:rsidR="000F49CC" w:rsidRPr="009D78E9" w:rsidRDefault="000F49CC" w:rsidP="00C54AF0">
            <w:pPr>
              <w:autoSpaceDE w:val="0"/>
              <w:autoSpaceDN w:val="0"/>
              <w:spacing w:after="60"/>
              <w:ind w:left="24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0000FF"/>
                <w:sz w:val="20"/>
                <w:szCs w:val="20"/>
              </w:rPr>
              <w:t>ACTION: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Nancy will also place the deadlines in the events calendar.</w:t>
            </w:r>
          </w:p>
          <w:p w:rsidR="00AA3889" w:rsidRPr="000F49CC" w:rsidRDefault="008C79ED" w:rsidP="00C54A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0F49CC">
              <w:rPr>
                <w:rFonts w:ascii="Verdana" w:hAnsi="Verdana"/>
                <w:i/>
                <w:color w:val="0000FF"/>
                <w:sz w:val="20"/>
                <w:szCs w:val="20"/>
              </w:rPr>
              <w:t>N</w:t>
            </w:r>
            <w:r w:rsidR="00AA3889" w:rsidRPr="000F49CC">
              <w:rPr>
                <w:rFonts w:ascii="Verdana" w:hAnsi="Verdana"/>
                <w:i/>
                <w:color w:val="0000FF"/>
                <w:sz w:val="20"/>
                <w:szCs w:val="20"/>
              </w:rPr>
              <w:t>ew member article – Nancy Appelquist</w:t>
            </w:r>
            <w:r w:rsidR="000F49CC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– article already in on Ceres Solution</w:t>
            </w:r>
          </w:p>
          <w:p w:rsidR="00AA3889" w:rsidRPr="000F49CC" w:rsidRDefault="00AA3889" w:rsidP="00C54A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0F49CC">
              <w:rPr>
                <w:rFonts w:ascii="Verdana" w:hAnsi="Verdana"/>
                <w:i/>
                <w:color w:val="0000FF"/>
                <w:sz w:val="20"/>
                <w:szCs w:val="20"/>
              </w:rPr>
              <w:t>Conner’s Corner – Rod Conner</w:t>
            </w:r>
            <w:r w:rsidR="000F49CC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– Nancy send reminder of Deadline</w:t>
            </w:r>
          </w:p>
          <w:p w:rsidR="00AA3889" w:rsidRPr="000F49CC" w:rsidRDefault="00AA3889" w:rsidP="00C54A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0F49CC">
              <w:rPr>
                <w:rFonts w:ascii="Verdana" w:hAnsi="Verdana"/>
                <w:i/>
                <w:color w:val="0000FF"/>
                <w:sz w:val="20"/>
                <w:szCs w:val="20"/>
              </w:rPr>
              <w:t>AGIIS Update – Wendy Smith</w:t>
            </w:r>
          </w:p>
          <w:p w:rsidR="00AA3889" w:rsidRPr="000F49CC" w:rsidRDefault="00AA3889" w:rsidP="00C54A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0F49CC">
              <w:rPr>
                <w:rFonts w:ascii="Verdana" w:hAnsi="Verdana"/>
                <w:i/>
                <w:color w:val="0000FF"/>
                <w:sz w:val="20"/>
                <w:szCs w:val="20"/>
              </w:rPr>
              <w:t>Tonnage Reporting Project – Marilyn Hunter</w:t>
            </w:r>
            <w:r w:rsidR="000F49CC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– </w:t>
            </w:r>
            <w:r w:rsidR="000F49CC" w:rsidRPr="00200F15">
              <w:rPr>
                <w:rFonts w:ascii="Verdana" w:hAnsi="Verdana"/>
                <w:b/>
                <w:i/>
                <w:color w:val="0000FF"/>
                <w:sz w:val="20"/>
                <w:szCs w:val="20"/>
              </w:rPr>
              <w:t>ACTION:</w:t>
            </w:r>
            <w:r w:rsidR="000F49CC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Wendy will follow-up with Marilyn today</w:t>
            </w:r>
          </w:p>
          <w:p w:rsidR="00AA3889" w:rsidRPr="000F49CC" w:rsidRDefault="00AA3889" w:rsidP="00C54A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0F49CC">
              <w:rPr>
                <w:rFonts w:ascii="Verdana" w:hAnsi="Verdana"/>
                <w:i/>
                <w:color w:val="0000FF"/>
                <w:sz w:val="20"/>
                <w:szCs w:val="20"/>
              </w:rPr>
              <w:t>Gateway to Ag Careers – Donna Skene</w:t>
            </w:r>
          </w:p>
          <w:p w:rsidR="00AA3889" w:rsidRDefault="00AA3889" w:rsidP="00C54A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0F49CC">
              <w:rPr>
                <w:rFonts w:ascii="Verdana" w:hAnsi="Verdana"/>
                <w:i/>
                <w:color w:val="0000FF"/>
                <w:sz w:val="20"/>
                <w:szCs w:val="20"/>
              </w:rPr>
              <w:t>Getting the Most out of AgGateway – Wendy Smith</w:t>
            </w:r>
            <w:r w:rsidR="009D78E9" w:rsidRPr="000F49CC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– Additional article/replacement article about changes to CSC staff</w:t>
            </w:r>
            <w:r w:rsidR="000F49CC">
              <w:rPr>
                <w:rFonts w:ascii="Verdana" w:hAnsi="Verdana"/>
                <w:i/>
                <w:color w:val="0000FF"/>
                <w:sz w:val="20"/>
                <w:szCs w:val="20"/>
              </w:rPr>
              <w:t>.</w:t>
            </w:r>
          </w:p>
          <w:p w:rsidR="00200F15" w:rsidRPr="000F49CC" w:rsidRDefault="00200F15" w:rsidP="00C54A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CCP –paragraph to follow-up on Save the Date announcement about this meeting – Marcia – hotel, registration available, normal layout, etc. </w:t>
            </w:r>
          </w:p>
          <w:p w:rsidR="000723D1" w:rsidRDefault="000723D1" w:rsidP="000723D1">
            <w:p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200F15">
              <w:rPr>
                <w:rFonts w:ascii="Verdana" w:hAnsi="Verdana"/>
                <w:i/>
                <w:color w:val="0000FF"/>
                <w:sz w:val="20"/>
                <w:szCs w:val="20"/>
              </w:rPr>
              <w:t>Flow of getting the newsletter out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– talking about the process on a call</w:t>
            </w:r>
          </w:p>
          <w:p w:rsidR="000723D1" w:rsidRPr="00C54AF0" w:rsidRDefault="000723D1" w:rsidP="000723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C54AF0">
              <w:rPr>
                <w:rFonts w:ascii="Verdana" w:hAnsi="Verdana"/>
                <w:i/>
                <w:color w:val="0000FF"/>
                <w:sz w:val="20"/>
                <w:szCs w:val="20"/>
              </w:rPr>
              <w:t>Nancy will ask the authors to send the articles to her and to Andriana</w:t>
            </w:r>
          </w:p>
          <w:p w:rsidR="000723D1" w:rsidRPr="00C54AF0" w:rsidRDefault="000723D1" w:rsidP="000723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C54AF0">
              <w:rPr>
                <w:rFonts w:ascii="Verdana" w:hAnsi="Verdana"/>
                <w:i/>
                <w:color w:val="0000FF"/>
                <w:sz w:val="20"/>
                <w:szCs w:val="20"/>
              </w:rPr>
              <w:t>Andriana edits the articles and provides to Meri</w:t>
            </w:r>
          </w:p>
          <w:p w:rsidR="000723D1" w:rsidRDefault="000723D1" w:rsidP="000723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C54AF0">
              <w:rPr>
                <w:rFonts w:ascii="Verdana" w:hAnsi="Verdana"/>
                <w:i/>
                <w:color w:val="0000FF"/>
                <w:sz w:val="20"/>
                <w:szCs w:val="20"/>
              </w:rPr>
              <w:t>Meri places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the articles in the newsletter format</w:t>
            </w:r>
          </w:p>
          <w:p w:rsidR="000723D1" w:rsidRPr="00C54AF0" w:rsidRDefault="000723D1" w:rsidP="000723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>Meri sends to Andriana, Wendy and Rod Conner</w:t>
            </w:r>
          </w:p>
          <w:p w:rsidR="000723D1" w:rsidRDefault="000723D1" w:rsidP="000723D1">
            <w:p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200F15">
              <w:rPr>
                <w:rFonts w:ascii="Verdana" w:hAnsi="Verdana"/>
                <w:b/>
                <w:i/>
                <w:color w:val="0000FF"/>
                <w:sz w:val="20"/>
                <w:szCs w:val="20"/>
              </w:rPr>
              <w:t>ACTION: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Wendy to write up the process so we have it documented; include the standing </w:t>
            </w:r>
            <w:r w:rsidR="00703A94">
              <w:rPr>
                <w:rFonts w:ascii="Verdana" w:hAnsi="Verdana"/>
                <w:i/>
                <w:color w:val="0000FF"/>
                <w:sz w:val="20"/>
                <w:szCs w:val="20"/>
              </w:rPr>
              <w:t>articles in this document</w:t>
            </w:r>
          </w:p>
          <w:p w:rsidR="000723D1" w:rsidRDefault="000723D1" w:rsidP="000723D1">
            <w:p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>Sara suggested another topic for this newsletter – AgGateway and AFIA IT Innovation Award – deadline for the award nominations is February. Nancy noted that we would have a follow-up article once the winner is selected.</w:t>
            </w:r>
          </w:p>
          <w:p w:rsidR="000723D1" w:rsidRDefault="000723D1" w:rsidP="000723D1">
            <w:p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Marcia referenced the use of project updates from Marilyn and the use of that for the newsletter – </w:t>
            </w:r>
            <w:r w:rsidRPr="00200F15">
              <w:rPr>
                <w:rFonts w:ascii="Verdana" w:hAnsi="Verdana"/>
                <w:b/>
                <w:i/>
                <w:color w:val="0000FF"/>
                <w:sz w:val="20"/>
                <w:szCs w:val="20"/>
              </w:rPr>
              <w:t>ACTION: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Wendy will follow-up with Marilyn on this and validate or let all know</w:t>
            </w:r>
          </w:p>
          <w:p w:rsidR="000723D1" w:rsidRDefault="000723D1" w:rsidP="000723D1">
            <w:p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>March newsletter article ideas – deadline is in February</w:t>
            </w:r>
          </w:p>
          <w:p w:rsidR="000723D1" w:rsidRPr="00C54AF0" w:rsidRDefault="000723D1" w:rsidP="000723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C54AF0">
              <w:rPr>
                <w:rFonts w:ascii="Verdana" w:hAnsi="Verdana"/>
                <w:i/>
                <w:color w:val="0000FF"/>
                <w:sz w:val="20"/>
                <w:szCs w:val="20"/>
              </w:rPr>
              <w:t>New member article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- </w:t>
            </w:r>
          </w:p>
          <w:p w:rsidR="000723D1" w:rsidRPr="00C54AF0" w:rsidRDefault="000723D1" w:rsidP="000723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C54AF0">
              <w:rPr>
                <w:rFonts w:ascii="Verdana" w:hAnsi="Verdana"/>
                <w:i/>
                <w:color w:val="0000FF"/>
                <w:sz w:val="20"/>
                <w:szCs w:val="20"/>
              </w:rPr>
              <w:t>Conner’s Corner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- Rod</w:t>
            </w:r>
          </w:p>
          <w:p w:rsidR="000723D1" w:rsidRPr="00C54AF0" w:rsidRDefault="000723D1" w:rsidP="000723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C54AF0">
              <w:rPr>
                <w:rFonts w:ascii="Verdana" w:hAnsi="Verdana"/>
                <w:i/>
                <w:color w:val="0000FF"/>
                <w:sz w:val="20"/>
                <w:szCs w:val="20"/>
              </w:rPr>
              <w:t>AGIIS Update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- Wendy</w:t>
            </w:r>
          </w:p>
          <w:p w:rsidR="00C54AF0" w:rsidRPr="000723D1" w:rsidRDefault="000723D1" w:rsidP="000723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C54AF0">
              <w:rPr>
                <w:rFonts w:ascii="Verdana" w:hAnsi="Verdana"/>
                <w:i/>
                <w:color w:val="0000FF"/>
                <w:sz w:val="20"/>
                <w:szCs w:val="20"/>
              </w:rPr>
              <w:t>Harmonization Project – Marilyn and Jim</w:t>
            </w:r>
          </w:p>
        </w:tc>
      </w:tr>
      <w:tr w:rsidR="00C54AF0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gridAfter w:val="1"/>
          <w:wBefore w:w="7" w:type="dxa"/>
          <w:wAfter w:w="54" w:type="dxa"/>
          <w:cantSplit/>
          <w:trHeight w:val="68"/>
        </w:trPr>
        <w:tc>
          <w:tcPr>
            <w:tcW w:w="3272" w:type="dxa"/>
            <w:gridSpan w:val="3"/>
          </w:tcPr>
          <w:p w:rsidR="00C54AF0" w:rsidRDefault="000723D1" w:rsidP="000723D1">
            <w:pPr>
              <w:ind w:left="36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Jan/Feb Newsletter Planning continued</w:t>
            </w:r>
          </w:p>
        </w:tc>
        <w:tc>
          <w:tcPr>
            <w:tcW w:w="1349" w:type="dxa"/>
            <w:gridSpan w:val="2"/>
          </w:tcPr>
          <w:p w:rsidR="00C54AF0" w:rsidRDefault="00C54AF0" w:rsidP="00C37CA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54AF0" w:rsidRDefault="00C54AF0" w:rsidP="00C37CA4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206" w:type="dxa"/>
            <w:gridSpan w:val="2"/>
          </w:tcPr>
          <w:p w:rsidR="00C54AF0" w:rsidRDefault="00C54AF0" w:rsidP="00C54A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>Membership Drive - Wendy</w:t>
            </w:r>
          </w:p>
          <w:p w:rsidR="00C54AF0" w:rsidRDefault="00C54AF0" w:rsidP="00C54A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Blurb about other articles about AgGateway that people might be interested in </w:t>
            </w:r>
          </w:p>
          <w:p w:rsidR="00C54AF0" w:rsidRPr="000723D1" w:rsidRDefault="00C54AF0" w:rsidP="000723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>Seed Connectivity Project II – identifying participants, timelines</w:t>
            </w:r>
          </w:p>
        </w:tc>
      </w:tr>
      <w:tr w:rsidR="00903086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gridAfter w:val="1"/>
          <w:wBefore w:w="7" w:type="dxa"/>
          <w:wAfter w:w="54" w:type="dxa"/>
          <w:cantSplit/>
          <w:trHeight w:val="68"/>
        </w:trPr>
        <w:tc>
          <w:tcPr>
            <w:tcW w:w="3272" w:type="dxa"/>
            <w:gridSpan w:val="3"/>
          </w:tcPr>
          <w:p w:rsidR="00903086" w:rsidRDefault="00903086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Membership Drive Plan of Action</w:t>
            </w:r>
          </w:p>
        </w:tc>
        <w:tc>
          <w:tcPr>
            <w:tcW w:w="1349" w:type="dxa"/>
            <w:gridSpan w:val="2"/>
          </w:tcPr>
          <w:p w:rsidR="00903086" w:rsidRDefault="00903086" w:rsidP="00C37CA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</w:tcPr>
          <w:p w:rsidR="00903086" w:rsidRDefault="008C79ED" w:rsidP="00C37CA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8206" w:type="dxa"/>
            <w:gridSpan w:val="2"/>
          </w:tcPr>
          <w:p w:rsidR="00AA3889" w:rsidRDefault="00A968C8" w:rsidP="00A968C8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9D78E9">
              <w:rPr>
                <w:rFonts w:ascii="Verdana" w:hAnsi="Verdana"/>
                <w:i/>
                <w:color w:val="0000FF"/>
                <w:sz w:val="20"/>
                <w:szCs w:val="20"/>
              </w:rPr>
              <w:t>Reviewed the proposed plan with Rod Conner on January 4</w:t>
            </w:r>
            <w:r w:rsidRPr="009D78E9">
              <w:rPr>
                <w:rFonts w:ascii="Verdana" w:hAnsi="Verdana"/>
                <w:i/>
                <w:color w:val="0000FF"/>
                <w:sz w:val="20"/>
                <w:szCs w:val="20"/>
                <w:vertAlign w:val="superscript"/>
              </w:rPr>
              <w:t>th</w:t>
            </w:r>
            <w:r w:rsidRPr="009D78E9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and he approves the concept and the promotional amount (10% discount for new members that sign up by June 1). Will be included as a topic on the January 16 BOD meeting to introduce the concept to the Council Chairs and Vice Chairs and solicit their participation.</w:t>
            </w:r>
          </w:p>
          <w:p w:rsidR="00A968C8" w:rsidRDefault="00A968C8" w:rsidP="00A968C8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  <w:r w:rsidRPr="009D78E9">
              <w:rPr>
                <w:rFonts w:ascii="Verdana" w:hAnsi="Verdana"/>
                <w:i/>
                <w:color w:val="0000FF"/>
                <w:sz w:val="20"/>
                <w:szCs w:val="20"/>
              </w:rPr>
              <w:t>Plan to kick off the Membership drive mid-February and run through the end of May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.</w:t>
            </w:r>
          </w:p>
          <w:p w:rsidR="00C54AF0" w:rsidRDefault="00C54AF0" w:rsidP="00A968C8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Provides opportunity to develop implementation plan for the </w:t>
            </w:r>
            <w:proofErr w:type="spellStart"/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>onboarding</w:t>
            </w:r>
            <w:proofErr w:type="spellEnd"/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process</w:t>
            </w:r>
            <w:r w:rsidRPr="00C54AF0">
              <w:rPr>
                <w:rFonts w:ascii="Verdana" w:hAnsi="Verdana"/>
                <w:color w:val="0000FF"/>
                <w:sz w:val="18"/>
                <w:szCs w:val="18"/>
              </w:rPr>
              <w:t>.</w:t>
            </w:r>
          </w:p>
          <w:p w:rsidR="00C54AF0" w:rsidRDefault="00C54AF0" w:rsidP="00A968C8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>Need a group to work on the messages/topic for the</w:t>
            </w:r>
          </w:p>
          <w:p w:rsidR="00C54AF0" w:rsidRPr="00C54AF0" w:rsidRDefault="00C54AF0" w:rsidP="00A968C8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C54AF0">
              <w:rPr>
                <w:rFonts w:ascii="Verdana" w:hAnsi="Verdana"/>
                <w:b/>
                <w:i/>
                <w:color w:val="0000FF"/>
                <w:sz w:val="20"/>
                <w:szCs w:val="20"/>
              </w:rPr>
              <w:t>ACTION:</w:t>
            </w:r>
            <w:r w:rsidRPr="00C54AF0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Wendy will create formal document for the Membership Drive</w:t>
            </w:r>
          </w:p>
          <w:p w:rsidR="00C54AF0" w:rsidRDefault="00C54AF0" w:rsidP="00A968C8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C54AF0">
              <w:rPr>
                <w:rFonts w:ascii="Verdana" w:hAnsi="Verdana"/>
                <w:b/>
                <w:i/>
                <w:color w:val="0000FF"/>
                <w:sz w:val="20"/>
                <w:szCs w:val="20"/>
              </w:rPr>
              <w:t>ACTION:</w:t>
            </w:r>
            <w:r w:rsidRPr="00C54AF0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C54AF0">
              <w:rPr>
                <w:rFonts w:ascii="Verdana" w:hAnsi="Verdana"/>
                <w:i/>
                <w:color w:val="0000FF"/>
                <w:sz w:val="20"/>
                <w:szCs w:val="20"/>
              </w:rPr>
              <w:t>Marcia will set an on boarding meeting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prior to the first week of February.</w:t>
            </w:r>
          </w:p>
          <w:p w:rsidR="00C54AF0" w:rsidRPr="00C54AF0" w:rsidRDefault="00C54AF0" w:rsidP="00A968C8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  <w:r w:rsidRPr="00C54AF0">
              <w:rPr>
                <w:rFonts w:ascii="Verdana" w:hAnsi="Verdana"/>
                <w:i/>
                <w:color w:val="0000FF"/>
                <w:sz w:val="20"/>
                <w:szCs w:val="20"/>
              </w:rPr>
              <w:t>Marcia noted that she is unavailable for the M&amp;C Committee meeting in February and will work with Nancy to get that covered.</w:t>
            </w:r>
          </w:p>
        </w:tc>
      </w:tr>
      <w:tr w:rsidR="000D490C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gridAfter w:val="1"/>
          <w:wBefore w:w="7" w:type="dxa"/>
          <w:wAfter w:w="54" w:type="dxa"/>
          <w:cantSplit/>
          <w:trHeight w:val="850"/>
        </w:trPr>
        <w:tc>
          <w:tcPr>
            <w:tcW w:w="3272" w:type="dxa"/>
            <w:gridSpan w:val="3"/>
          </w:tcPr>
          <w:p w:rsidR="000D490C" w:rsidRDefault="0054790F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 Objectives</w:t>
            </w:r>
          </w:p>
        </w:tc>
        <w:tc>
          <w:tcPr>
            <w:tcW w:w="1349" w:type="dxa"/>
            <w:gridSpan w:val="2"/>
          </w:tcPr>
          <w:p w:rsidR="000D490C" w:rsidRDefault="0046126D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Default="000D490C" w:rsidP="005479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Team </w:t>
            </w:r>
            <w:r w:rsidR="0054790F">
              <w:rPr>
                <w:rFonts w:ascii="Verdana" w:hAnsi="Verdana" w:cs="Verdana"/>
                <w:sz w:val="20"/>
                <w:szCs w:val="20"/>
              </w:rPr>
              <w:t>Understands and agrees on Objectives for 2012</w:t>
            </w:r>
          </w:p>
        </w:tc>
        <w:tc>
          <w:tcPr>
            <w:tcW w:w="8206" w:type="dxa"/>
            <w:gridSpan w:val="2"/>
          </w:tcPr>
          <w:p w:rsidR="00A968C8" w:rsidRPr="00716127" w:rsidRDefault="00A968C8" w:rsidP="00716127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2012 Overall AgGateway </w:t>
            </w:r>
            <w:proofErr w:type="gramStart"/>
            <w:r w:rsidRPr="00716127">
              <w:rPr>
                <w:rFonts w:ascii="Verdana" w:hAnsi="Verdana"/>
                <w:i/>
                <w:color w:val="0000FF"/>
                <w:sz w:val="20"/>
                <w:szCs w:val="20"/>
              </w:rPr>
              <w:t>Objectives  -</w:t>
            </w:r>
            <w:proofErr w:type="gramEnd"/>
            <w:r w:rsidRPr="00716127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M&amp;C objectives should support these.</w:t>
            </w:r>
          </w:p>
          <w:p w:rsidR="00A968C8" w:rsidRPr="00716127" w:rsidRDefault="00A968C8" w:rsidP="00716127">
            <w:pPr>
              <w:spacing w:after="120"/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  <w:t xml:space="preserve">#1: </w:t>
            </w:r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 xml:space="preserve">With continued focus on standards, connectivity, and strengthening current councils through planning, </w:t>
            </w:r>
            <w:proofErr w:type="gramStart"/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>increase</w:t>
            </w:r>
            <w:proofErr w:type="gramEnd"/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 xml:space="preserve"> the number of functioning industry segment councils in AgGateway to 10.  A functioning council means that the members are actively planning and/or executing connectivity among the trading partners in their respective segments.</w:t>
            </w:r>
          </w:p>
          <w:p w:rsidR="00A968C8" w:rsidRPr="00716127" w:rsidRDefault="00A968C8" w:rsidP="00716127">
            <w:pPr>
              <w:spacing w:after="120"/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  <w:t xml:space="preserve">#2: </w:t>
            </w:r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>Create and provide tools that provide value of eBusiness within organizations. Specifically,</w:t>
            </w:r>
            <w:proofErr w:type="gramStart"/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>  engage</w:t>
            </w:r>
            <w:proofErr w:type="gramEnd"/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 xml:space="preserve"> an educational resource to develop two educational courses and two eBusiness strategy presentations for members to use within their organizations.</w:t>
            </w:r>
            <w:r w:rsidRPr="00716127"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  <w:p w:rsidR="00716127" w:rsidRPr="000723D1" w:rsidRDefault="00A968C8" w:rsidP="000723D1">
            <w:pPr>
              <w:spacing w:after="120"/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  <w:t xml:space="preserve">#3: </w:t>
            </w:r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 xml:space="preserve">Provide and communicate tools, services, and resources to increase ease of successful eBusiness implementations.  Specifically, implement self-service and in-person “enabling services”, provide enabling services to at least 10 </w:t>
            </w:r>
            <w:proofErr w:type="gramStart"/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>companies ,</w:t>
            </w:r>
            <w:proofErr w:type="gramEnd"/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 xml:space="preserve"> create at least one tool and/or tool enhancement to facilitate the current AGW project implementation process, and update and communicate the portfolio of standards and services available to members.</w:t>
            </w:r>
          </w:p>
        </w:tc>
      </w:tr>
      <w:tr w:rsidR="00716127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54" w:type="dxa"/>
          <w:cantSplit/>
          <w:trHeight w:val="68"/>
        </w:trPr>
        <w:tc>
          <w:tcPr>
            <w:tcW w:w="3279" w:type="dxa"/>
            <w:gridSpan w:val="4"/>
          </w:tcPr>
          <w:p w:rsidR="00716127" w:rsidRDefault="000723D1" w:rsidP="000723D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Committee Objectives continued</w:t>
            </w:r>
          </w:p>
        </w:tc>
        <w:tc>
          <w:tcPr>
            <w:tcW w:w="1349" w:type="dxa"/>
            <w:gridSpan w:val="2"/>
          </w:tcPr>
          <w:p w:rsidR="00716127" w:rsidRDefault="0071612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127" w:rsidRPr="004250C9" w:rsidRDefault="00716127" w:rsidP="0027130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206" w:type="dxa"/>
            <w:gridSpan w:val="2"/>
          </w:tcPr>
          <w:p w:rsidR="000723D1" w:rsidRPr="00716127" w:rsidRDefault="000723D1" w:rsidP="000723D1">
            <w:pPr>
              <w:spacing w:after="120"/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  <w:t xml:space="preserve">#4:  </w:t>
            </w:r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>Adjust and</w:t>
            </w:r>
            <w:proofErr w:type="gramStart"/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>  continue</w:t>
            </w:r>
            <w:proofErr w:type="gramEnd"/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 xml:space="preserve"> to execute the marketing plan, engage a marketing resource to achieve a more robust execution of the plan and to create effective promotions to increase AgGateway membership by at least 10% and expand the use of eBusiness by 75 connections in 2012. Develop 2013-2015 marketing plan.</w:t>
            </w:r>
          </w:p>
          <w:p w:rsidR="000723D1" w:rsidRPr="00716127" w:rsidRDefault="000723D1" w:rsidP="000723D1">
            <w:pPr>
              <w:spacing w:after="120"/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  <w:t xml:space="preserve">#5: </w:t>
            </w:r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>Expand the number of working relationships with Ag industry trade groups to at least 10</w:t>
            </w:r>
          </w:p>
          <w:p w:rsidR="000723D1" w:rsidRDefault="000723D1" w:rsidP="000723D1">
            <w:pPr>
              <w:spacing w:after="120"/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>M&amp;C Objectives proposed by Marcia</w:t>
            </w:r>
          </w:p>
          <w:p w:rsidR="000723D1" w:rsidRPr="00716127" w:rsidRDefault="000723D1" w:rsidP="000723D1">
            <w:pPr>
              <w:numPr>
                <w:ilvl w:val="0"/>
                <w:numId w:val="13"/>
              </w:numPr>
              <w:spacing w:after="120"/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 xml:space="preserve">Recruiting new members for AgGateway.  Rod Connor signaled during his opening remarks at this year’s annual conference plans for additional councils over the next few years.  What a great source of new energy, ideas and enthusiasm!  </w:t>
            </w:r>
          </w:p>
          <w:p w:rsidR="000723D1" w:rsidRPr="00716127" w:rsidRDefault="000723D1" w:rsidP="000723D1">
            <w:pPr>
              <w:numPr>
                <w:ilvl w:val="0"/>
                <w:numId w:val="13"/>
              </w:numPr>
              <w:spacing w:after="120"/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 xml:space="preserve">Updating our current process for on-boarding process new members.  As part of this work, our committee will be developing a number of tools that will be useful when assimilating new members into the AgGateway Organization.  </w:t>
            </w:r>
          </w:p>
          <w:p w:rsidR="000723D1" w:rsidRPr="00716127" w:rsidRDefault="000723D1" w:rsidP="000723D1">
            <w:pPr>
              <w:spacing w:after="120"/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FF"/>
                <w:sz w:val="20"/>
                <w:szCs w:val="20"/>
              </w:rPr>
              <w:t>Suggested we</w:t>
            </w:r>
          </w:p>
          <w:p w:rsidR="000723D1" w:rsidRPr="00716127" w:rsidRDefault="000723D1" w:rsidP="000723D1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i/>
                <w:color w:val="0000FF"/>
                <w:sz w:val="20"/>
                <w:szCs w:val="20"/>
              </w:rPr>
              <w:t>may want to consider broadening the first objective to encompass support of AgGateway growth in Councils and Members</w:t>
            </w:r>
          </w:p>
          <w:p w:rsidR="00716127" w:rsidRPr="00716127" w:rsidRDefault="000723D1" w:rsidP="000723D1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716127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consider an objective re: implementation/support of the 2012 M&amp;C </w:t>
            </w:r>
            <w:r w:rsidR="00716127" w:rsidRPr="00716127">
              <w:rPr>
                <w:rFonts w:ascii="Verdana" w:hAnsi="Verdana"/>
                <w:i/>
                <w:color w:val="0000FF"/>
                <w:sz w:val="20"/>
                <w:szCs w:val="20"/>
              </w:rPr>
              <w:t>ACTION: Marcia will revise and send to Meri the update</w:t>
            </w:r>
          </w:p>
          <w:p w:rsidR="00716127" w:rsidRDefault="00716127" w:rsidP="00716127">
            <w:pPr>
              <w:spacing w:after="120"/>
            </w:pPr>
            <w:r w:rsidRPr="000723D1">
              <w:rPr>
                <w:rFonts w:ascii="Verdana" w:hAnsi="Verdana"/>
                <w:b/>
                <w:i/>
                <w:color w:val="0000FF"/>
                <w:sz w:val="20"/>
                <w:szCs w:val="20"/>
              </w:rPr>
              <w:t>ACTION:</w:t>
            </w:r>
            <w:r w:rsidRPr="00716127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Wendy and Marcia will write up the revised objectives by 1/20</w:t>
            </w:r>
          </w:p>
        </w:tc>
      </w:tr>
      <w:tr w:rsidR="000D490C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54" w:type="dxa"/>
          <w:cantSplit/>
          <w:trHeight w:val="68"/>
        </w:trPr>
        <w:tc>
          <w:tcPr>
            <w:tcW w:w="3279" w:type="dxa"/>
            <w:gridSpan w:val="4"/>
          </w:tcPr>
          <w:p w:rsidR="000D490C" w:rsidRDefault="00F71889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716127" w:rsidRPr="000723D1" w:rsidRDefault="00716127" w:rsidP="00716127">
            <w:pPr>
              <w:spacing w:after="120"/>
              <w:rPr>
                <w:rFonts w:ascii="Verdana" w:hAnsi="Verdana"/>
                <w:i/>
                <w:color w:val="0000FF"/>
                <w:sz w:val="22"/>
                <w:szCs w:val="22"/>
              </w:rPr>
            </w:pPr>
            <w:r w:rsidRPr="000723D1">
              <w:rPr>
                <w:rFonts w:ascii="Verdana" w:hAnsi="Verdana"/>
                <w:i/>
                <w:color w:val="0000FF"/>
                <w:sz w:val="22"/>
                <w:szCs w:val="22"/>
              </w:rPr>
              <w:t xml:space="preserve">Website – request for AgGateway News and Industry News items  made the request of the committee regarding </w:t>
            </w:r>
            <w:r w:rsidR="000723D1" w:rsidRPr="000723D1">
              <w:rPr>
                <w:rFonts w:ascii="Verdana" w:hAnsi="Verdana"/>
                <w:i/>
                <w:color w:val="0000FF"/>
                <w:sz w:val="22"/>
                <w:szCs w:val="22"/>
              </w:rPr>
              <w:t>keeping that information fresh</w:t>
            </w:r>
          </w:p>
          <w:p w:rsidR="00716127" w:rsidRPr="000723D1" w:rsidRDefault="00716127" w:rsidP="00716127">
            <w:pPr>
              <w:spacing w:after="120"/>
              <w:rPr>
                <w:rFonts w:ascii="Verdana" w:hAnsi="Verdana"/>
                <w:i/>
                <w:color w:val="0000FF"/>
                <w:sz w:val="22"/>
                <w:szCs w:val="22"/>
              </w:rPr>
            </w:pPr>
            <w:r w:rsidRPr="000723D1">
              <w:rPr>
                <w:rFonts w:ascii="Verdana" w:hAnsi="Verdana"/>
                <w:i/>
                <w:color w:val="0000FF"/>
                <w:sz w:val="22"/>
                <w:szCs w:val="22"/>
              </w:rPr>
              <w:t>Marcia suggested a March newsletter article</w:t>
            </w:r>
            <w:r w:rsidR="000723D1" w:rsidRPr="000723D1">
              <w:rPr>
                <w:rFonts w:ascii="Verdana" w:hAnsi="Verdana"/>
                <w:i/>
                <w:color w:val="0000FF"/>
                <w:sz w:val="22"/>
                <w:szCs w:val="22"/>
              </w:rPr>
              <w:t xml:space="preserve"> on this to solicit</w:t>
            </w:r>
          </w:p>
          <w:p w:rsidR="000723D1" w:rsidRPr="000723D1" w:rsidRDefault="000723D1" w:rsidP="00716127">
            <w:pPr>
              <w:spacing w:after="120"/>
              <w:rPr>
                <w:rFonts w:ascii="Verdana" w:hAnsi="Verdana"/>
                <w:i/>
                <w:color w:val="0000FF"/>
                <w:sz w:val="22"/>
                <w:szCs w:val="22"/>
              </w:rPr>
            </w:pPr>
            <w:r w:rsidRPr="000723D1">
              <w:rPr>
                <w:rFonts w:ascii="Verdana" w:hAnsi="Verdana"/>
                <w:i/>
                <w:color w:val="0000FF"/>
                <w:sz w:val="22"/>
                <w:szCs w:val="22"/>
              </w:rPr>
              <w:t xml:space="preserve">Twitter and Facebook question – not actively managing today, explained about the resources planned to develop a social networking strategy. </w:t>
            </w:r>
            <w:r w:rsidRPr="000723D1">
              <w:rPr>
                <w:rFonts w:ascii="Verdana" w:hAnsi="Verdana"/>
                <w:b/>
                <w:i/>
                <w:color w:val="0000FF"/>
                <w:sz w:val="22"/>
                <w:szCs w:val="22"/>
              </w:rPr>
              <w:t>ACTION:</w:t>
            </w:r>
            <w:r w:rsidRPr="000723D1">
              <w:rPr>
                <w:rFonts w:ascii="Verdana" w:hAnsi="Verdana"/>
                <w:i/>
                <w:color w:val="0000FF"/>
                <w:sz w:val="22"/>
                <w:szCs w:val="22"/>
              </w:rPr>
              <w:t xml:space="preserve"> Wendy will validate in plan for 2012</w:t>
            </w:r>
          </w:p>
          <w:p w:rsidR="000723D1" w:rsidRPr="000723D1" w:rsidRDefault="000723D1" w:rsidP="00716127">
            <w:pPr>
              <w:spacing w:after="120"/>
              <w:rPr>
                <w:rFonts w:ascii="Verdana" w:hAnsi="Verdana"/>
                <w:i/>
                <w:color w:val="0000FF"/>
                <w:sz w:val="22"/>
                <w:szCs w:val="22"/>
              </w:rPr>
            </w:pPr>
            <w:r w:rsidRPr="000723D1">
              <w:rPr>
                <w:rFonts w:ascii="Verdana" w:hAnsi="Verdana"/>
                <w:i/>
                <w:color w:val="0000FF"/>
                <w:sz w:val="22"/>
                <w:szCs w:val="22"/>
              </w:rPr>
              <w:t xml:space="preserve">Nancy wanted to make sure we are aware, implementing, confirm that it falls in the purview </w:t>
            </w:r>
            <w:r>
              <w:rPr>
                <w:rFonts w:ascii="Verdana" w:hAnsi="Verdana"/>
                <w:i/>
                <w:color w:val="0000FF"/>
                <w:sz w:val="22"/>
                <w:szCs w:val="22"/>
              </w:rPr>
              <w:t xml:space="preserve">within the </w:t>
            </w:r>
          </w:p>
          <w:p w:rsidR="000D490C" w:rsidRPr="00042017" w:rsidRDefault="00A968C8" w:rsidP="000723D1">
            <w:pPr>
              <w:spacing w:after="12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0723D1">
              <w:rPr>
                <w:rFonts w:ascii="Verdana" w:hAnsi="Verdana"/>
                <w:i/>
                <w:color w:val="0000FF"/>
                <w:sz w:val="22"/>
                <w:szCs w:val="22"/>
              </w:rPr>
              <w:t>2012 AgGateway Marketing and Communications Plan and implementation</w:t>
            </w:r>
            <w:r w:rsidR="000723D1" w:rsidRPr="000723D1">
              <w:rPr>
                <w:rFonts w:ascii="Verdana" w:hAnsi="Verdana"/>
                <w:i/>
                <w:color w:val="0000FF"/>
                <w:sz w:val="22"/>
                <w:szCs w:val="22"/>
              </w:rPr>
              <w:t xml:space="preserve"> – working on revising the M&amp;C document, and hope to have something to share in February, at the latest in March. Include as agenda topic ongoing.</w:t>
            </w:r>
          </w:p>
        </w:tc>
      </w:tr>
      <w:tr w:rsidR="000D490C" w:rsidRPr="004250C9" w:rsidTr="000723D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54" w:type="dxa"/>
          <w:cantSplit/>
          <w:trHeight w:val="68"/>
        </w:trPr>
        <w:tc>
          <w:tcPr>
            <w:tcW w:w="3279" w:type="dxa"/>
            <w:gridSpan w:val="4"/>
          </w:tcPr>
          <w:p w:rsidR="000D490C" w:rsidRPr="004250C9" w:rsidRDefault="00CD7569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lastRenderedPageBreak/>
              <w:t>Upcoming Meetings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CD7569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8206" w:type="dxa"/>
            <w:gridSpan w:val="2"/>
          </w:tcPr>
          <w:p w:rsidR="000D490C" w:rsidRDefault="00CD7569" w:rsidP="0054790F">
            <w:pPr>
              <w:spacing w:after="120"/>
              <w:jc w:val="both"/>
              <w:rPr>
                <w:rFonts w:ascii="Verdana" w:hAnsi="Verdana" w:cs="Verdana"/>
                <w:b/>
                <w:color w:val="0000FF"/>
                <w:sz w:val="18"/>
                <w:szCs w:val="18"/>
              </w:rPr>
            </w:pPr>
            <w:r w:rsidRPr="00042017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Next meeting 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54790F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54790F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2012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  11: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PM EDT (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10: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CT,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9: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MT,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8: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PT)</w:t>
            </w:r>
          </w:p>
        </w:tc>
      </w:tr>
      <w:tr w:rsidR="000D490C" w:rsidRPr="004250C9" w:rsidTr="0028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c>
          <w:tcPr>
            <w:tcW w:w="15298" w:type="dxa"/>
            <w:gridSpan w:val="10"/>
          </w:tcPr>
          <w:p w:rsidR="000D490C" w:rsidRPr="004250C9" w:rsidRDefault="001247A5" w:rsidP="00F71889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br w:type="page"/>
            </w:r>
            <w:r w:rsidR="000D490C"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="000D490C"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F71889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0D490C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1889">
              <w:rPr>
                <w:rFonts w:ascii="Verdana" w:hAnsi="Verdana" w:cs="Verdana"/>
                <w:b/>
                <w:bCs/>
                <w:sz w:val="20"/>
                <w:szCs w:val="20"/>
              </w:rPr>
              <w:t>09</w:t>
            </w:r>
            <w:r w:rsidR="000D490C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2011</w:t>
            </w:r>
          </w:p>
        </w:tc>
      </w:tr>
      <w:tr w:rsidR="000D490C" w:rsidRPr="004250C9" w:rsidTr="0028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c>
          <w:tcPr>
            <w:tcW w:w="2449" w:type="dxa"/>
            <w:gridSpan w:val="3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02" w:type="dxa"/>
            <w:gridSpan w:val="5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8047" w:type="dxa"/>
            <w:gridSpan w:val="2"/>
            <w:shd w:val="clear" w:color="auto" w:fill="365F91"/>
          </w:tcPr>
          <w:p w:rsidR="000D490C" w:rsidRPr="004250C9" w:rsidRDefault="000D490C" w:rsidP="00A553FF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(</w:t>
            </w:r>
            <w:r w:rsidR="001B14EE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as of </w:t>
            </w:r>
            <w:r w:rsidR="00180EE1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12</w:t>
            </w:r>
            <w:r w:rsidR="001B14EE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/</w:t>
            </w:r>
            <w:r w:rsidR="00A553FF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15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/2011)</w:t>
            </w:r>
          </w:p>
        </w:tc>
      </w:tr>
      <w:tr w:rsidR="000D490C" w:rsidRPr="004250C9" w:rsidTr="0028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c>
          <w:tcPr>
            <w:tcW w:w="2449" w:type="dxa"/>
            <w:gridSpan w:val="3"/>
          </w:tcPr>
          <w:p w:rsidR="000D490C" w:rsidRDefault="00C8100F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 Smith</w:t>
            </w:r>
          </w:p>
        </w:tc>
        <w:tc>
          <w:tcPr>
            <w:tcW w:w="4802" w:type="dxa"/>
            <w:gridSpan w:val="5"/>
          </w:tcPr>
          <w:p w:rsidR="000D490C" w:rsidRDefault="00C8100F" w:rsidP="00A667E4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Follow up with Marianne Embree, Christine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Dingman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and Marcia Rhodus on completion of the Value Propositions for Crop Nutrition and Seed.  Wendy to also provide current draft.</w:t>
            </w:r>
          </w:p>
        </w:tc>
        <w:tc>
          <w:tcPr>
            <w:tcW w:w="8047" w:type="dxa"/>
            <w:gridSpan w:val="2"/>
          </w:tcPr>
          <w:p w:rsidR="000D490C" w:rsidRPr="00703A9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703A9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0D490C" w:rsidRPr="004250C9" w:rsidTr="0028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c>
          <w:tcPr>
            <w:tcW w:w="2449" w:type="dxa"/>
            <w:gridSpan w:val="3"/>
          </w:tcPr>
          <w:p w:rsidR="000D490C" w:rsidRDefault="00C8100F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 Smith</w:t>
            </w:r>
          </w:p>
        </w:tc>
        <w:tc>
          <w:tcPr>
            <w:tcW w:w="4802" w:type="dxa"/>
            <w:gridSpan w:val="5"/>
          </w:tcPr>
          <w:p w:rsidR="000D490C" w:rsidRDefault="00C8100F" w:rsidP="00C8100F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Create a proposal for a Membership Drive Plan with timelines to allow for discussion.</w:t>
            </w:r>
          </w:p>
        </w:tc>
        <w:tc>
          <w:tcPr>
            <w:tcW w:w="8047" w:type="dxa"/>
            <w:gridSpan w:val="2"/>
          </w:tcPr>
          <w:p w:rsidR="000D490C" w:rsidRPr="00703A9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703A9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In progress</w:t>
            </w:r>
          </w:p>
        </w:tc>
      </w:tr>
      <w:tr w:rsidR="003A4B5A" w:rsidRPr="004250C9" w:rsidTr="0028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c>
          <w:tcPr>
            <w:tcW w:w="2449" w:type="dxa"/>
            <w:gridSpan w:val="3"/>
          </w:tcPr>
          <w:p w:rsidR="003A4B5A" w:rsidRDefault="0038129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802" w:type="dxa"/>
            <w:gridSpan w:val="5"/>
          </w:tcPr>
          <w:p w:rsidR="003A4B5A" w:rsidRDefault="0038129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Rod Connor has asked for suggestions from our committee for future Rod’s Corner articles.  Suggestions should be submitted directly to Rod.</w:t>
            </w:r>
          </w:p>
        </w:tc>
        <w:tc>
          <w:tcPr>
            <w:tcW w:w="8047" w:type="dxa"/>
            <w:gridSpan w:val="2"/>
          </w:tcPr>
          <w:p w:rsidR="003A4B5A" w:rsidRPr="00703A9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703A9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In progress</w:t>
            </w:r>
          </w:p>
        </w:tc>
      </w:tr>
      <w:tr w:rsidR="00281AD4" w:rsidRPr="004250C9" w:rsidTr="0028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c>
          <w:tcPr>
            <w:tcW w:w="2449" w:type="dxa"/>
            <w:gridSpan w:val="3"/>
          </w:tcPr>
          <w:p w:rsidR="00281AD4" w:rsidRDefault="00281AD4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Nancy</w:t>
            </w:r>
          </w:p>
          <w:p w:rsidR="00281AD4" w:rsidRDefault="00281AD4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gridSpan w:val="5"/>
          </w:tcPr>
          <w:p w:rsidR="00281AD4" w:rsidRDefault="00281AD4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Confirm with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Andirana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that she is still willing to edit the newsletter.</w:t>
            </w:r>
          </w:p>
        </w:tc>
        <w:tc>
          <w:tcPr>
            <w:tcW w:w="8047" w:type="dxa"/>
            <w:gridSpan w:val="2"/>
          </w:tcPr>
          <w:p w:rsidR="00281AD4" w:rsidRPr="00703A94" w:rsidRDefault="000F49CC" w:rsidP="000F49CC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703A9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Completed – Andriana confirmed she will stay on as the Newsletter editor.</w:t>
            </w:r>
          </w:p>
        </w:tc>
      </w:tr>
      <w:tr w:rsidR="00381DEB" w:rsidRPr="004250C9" w:rsidTr="0028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c>
          <w:tcPr>
            <w:tcW w:w="2449" w:type="dxa"/>
            <w:gridSpan w:val="3"/>
          </w:tcPr>
          <w:p w:rsidR="00381DEB" w:rsidRDefault="00381DE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Marcia</w:t>
            </w:r>
          </w:p>
        </w:tc>
        <w:tc>
          <w:tcPr>
            <w:tcW w:w="4802" w:type="dxa"/>
            <w:gridSpan w:val="5"/>
          </w:tcPr>
          <w:p w:rsidR="00381DEB" w:rsidRDefault="00381DE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Write up goals and send out to group.</w:t>
            </w:r>
          </w:p>
        </w:tc>
        <w:tc>
          <w:tcPr>
            <w:tcW w:w="8047" w:type="dxa"/>
            <w:gridSpan w:val="2"/>
          </w:tcPr>
          <w:p w:rsidR="00381DEB" w:rsidRPr="00703A94" w:rsidRDefault="000F49CC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703A9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Completed yesterday</w:t>
            </w:r>
          </w:p>
        </w:tc>
      </w:tr>
    </w:tbl>
    <w:p w:rsidR="0060306F" w:rsidRDefault="0060306F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6642B7" w:rsidTr="006642B7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Taker Assigned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6-Jan-12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Gasso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3-Feb-12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Rydl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2-Mar-12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Marianne Embree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6-Apr-12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Nancy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Applequist</w:t>
            </w:r>
            <w:proofErr w:type="spellEnd"/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4-May-12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1-Jun-12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Andriana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Dooukas</w:t>
            </w:r>
            <w:proofErr w:type="spellEnd"/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6-Jul-12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Peoples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3-Aug-12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Perry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7-Sep-12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5-Oct-12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Gasso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2-Nov-12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Nancy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Applequist</w:t>
            </w:r>
            <w:proofErr w:type="spellEnd"/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7-Dec-12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Peoples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4C01B9" w:rsidTr="004C01B9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20-Jan-12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17-Feb-11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16-Mar-11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20-Apr-11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15-Jun-11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20-Jul-11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17-Aug-11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21-Sep-11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19-Oct-11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16-Nov-11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21-Dec-11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</w:tr>
    </w:tbl>
    <w:p w:rsidR="004C01B9" w:rsidRDefault="004C01B9" w:rsidP="001247A5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5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7F" w:rsidRDefault="00CF297F">
      <w:r>
        <w:separator/>
      </w:r>
    </w:p>
  </w:endnote>
  <w:endnote w:type="continuationSeparator" w:id="0">
    <w:p w:rsidR="00CF297F" w:rsidRDefault="00CF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Pr="007A777D" w:rsidRDefault="003A4B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2475EE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2475EE" w:rsidRPr="007A777D">
      <w:rPr>
        <w:rFonts w:ascii="Arial" w:hAnsi="Arial" w:cs="Arial"/>
        <w:sz w:val="20"/>
      </w:rPr>
      <w:fldChar w:fldCharType="separate"/>
    </w:r>
    <w:r w:rsidR="002E21AB">
      <w:rPr>
        <w:rFonts w:ascii="Arial" w:hAnsi="Arial" w:cs="Arial"/>
        <w:noProof/>
        <w:sz w:val="20"/>
      </w:rPr>
      <w:t>6</w:t>
    </w:r>
    <w:r w:rsidR="002475EE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2475EE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2475EE" w:rsidRPr="007A777D">
      <w:rPr>
        <w:rFonts w:ascii="Arial" w:hAnsi="Arial" w:cs="Arial"/>
        <w:sz w:val="20"/>
      </w:rPr>
      <w:fldChar w:fldCharType="separate"/>
    </w:r>
    <w:r w:rsidR="002E21AB">
      <w:rPr>
        <w:rFonts w:ascii="Arial" w:hAnsi="Arial" w:cs="Arial"/>
        <w:noProof/>
        <w:sz w:val="20"/>
      </w:rPr>
      <w:t>6</w:t>
    </w:r>
    <w:r w:rsidR="002475EE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7F" w:rsidRDefault="00CF297F">
      <w:r>
        <w:separator/>
      </w:r>
    </w:p>
  </w:footnote>
  <w:footnote w:type="continuationSeparator" w:id="0">
    <w:p w:rsidR="00CF297F" w:rsidRDefault="00CF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58E"/>
    <w:multiLevelType w:val="hybridMultilevel"/>
    <w:tmpl w:val="D21E7CB2"/>
    <w:lvl w:ilvl="0" w:tplc="191C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8C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8B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49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2C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04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87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29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A2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539BE"/>
    <w:multiLevelType w:val="hybridMultilevel"/>
    <w:tmpl w:val="EE945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DD07D5"/>
    <w:multiLevelType w:val="hybridMultilevel"/>
    <w:tmpl w:val="2E2CB73E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9">
    <w:nsid w:val="57147179"/>
    <w:multiLevelType w:val="hybridMultilevel"/>
    <w:tmpl w:val="194CF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5D2381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663BBB"/>
    <w:multiLevelType w:val="hybridMultilevel"/>
    <w:tmpl w:val="89AC0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527BE"/>
    <w:multiLevelType w:val="hybridMultilevel"/>
    <w:tmpl w:val="D21E7CB2"/>
    <w:lvl w:ilvl="0" w:tplc="191C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8C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8B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49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2C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04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87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29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A2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7E00"/>
    <w:rsid w:val="0002557F"/>
    <w:rsid w:val="0003131E"/>
    <w:rsid w:val="00042017"/>
    <w:rsid w:val="000506F9"/>
    <w:rsid w:val="0005089A"/>
    <w:rsid w:val="00052EE7"/>
    <w:rsid w:val="00054071"/>
    <w:rsid w:val="000723D1"/>
    <w:rsid w:val="00075935"/>
    <w:rsid w:val="00084537"/>
    <w:rsid w:val="000866BD"/>
    <w:rsid w:val="000875EF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D490C"/>
    <w:rsid w:val="000D58B6"/>
    <w:rsid w:val="000F44D2"/>
    <w:rsid w:val="000F4565"/>
    <w:rsid w:val="000F49CC"/>
    <w:rsid w:val="000F5E75"/>
    <w:rsid w:val="0010015D"/>
    <w:rsid w:val="0010267C"/>
    <w:rsid w:val="00105299"/>
    <w:rsid w:val="0011057A"/>
    <w:rsid w:val="00111E81"/>
    <w:rsid w:val="00116773"/>
    <w:rsid w:val="00121429"/>
    <w:rsid w:val="001217CC"/>
    <w:rsid w:val="001247A5"/>
    <w:rsid w:val="001327E0"/>
    <w:rsid w:val="00135B90"/>
    <w:rsid w:val="00142726"/>
    <w:rsid w:val="00144FBA"/>
    <w:rsid w:val="00145296"/>
    <w:rsid w:val="00150C47"/>
    <w:rsid w:val="00160F79"/>
    <w:rsid w:val="001618CD"/>
    <w:rsid w:val="00164A13"/>
    <w:rsid w:val="00171F77"/>
    <w:rsid w:val="00180EE1"/>
    <w:rsid w:val="00184542"/>
    <w:rsid w:val="00190741"/>
    <w:rsid w:val="00191839"/>
    <w:rsid w:val="001930EB"/>
    <w:rsid w:val="001A48EC"/>
    <w:rsid w:val="001A5DB7"/>
    <w:rsid w:val="001B036F"/>
    <w:rsid w:val="001B14EE"/>
    <w:rsid w:val="001C00BB"/>
    <w:rsid w:val="001C058F"/>
    <w:rsid w:val="001C350F"/>
    <w:rsid w:val="001C622F"/>
    <w:rsid w:val="001D16A1"/>
    <w:rsid w:val="001D3311"/>
    <w:rsid w:val="001D38CB"/>
    <w:rsid w:val="001E02D9"/>
    <w:rsid w:val="001F078E"/>
    <w:rsid w:val="001F6F0E"/>
    <w:rsid w:val="001F795B"/>
    <w:rsid w:val="00200F15"/>
    <w:rsid w:val="002073E2"/>
    <w:rsid w:val="00207672"/>
    <w:rsid w:val="002123ED"/>
    <w:rsid w:val="0021772B"/>
    <w:rsid w:val="00227035"/>
    <w:rsid w:val="00230F38"/>
    <w:rsid w:val="00231D48"/>
    <w:rsid w:val="00236E4D"/>
    <w:rsid w:val="00237018"/>
    <w:rsid w:val="00244802"/>
    <w:rsid w:val="002475EE"/>
    <w:rsid w:val="00255E24"/>
    <w:rsid w:val="002663A3"/>
    <w:rsid w:val="002667E0"/>
    <w:rsid w:val="00266A07"/>
    <w:rsid w:val="00267FC8"/>
    <w:rsid w:val="002702ED"/>
    <w:rsid w:val="0027130A"/>
    <w:rsid w:val="00274A16"/>
    <w:rsid w:val="00281AD4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7F46"/>
    <w:rsid w:val="002E09D4"/>
    <w:rsid w:val="002E21AB"/>
    <w:rsid w:val="002E481B"/>
    <w:rsid w:val="002E7CC9"/>
    <w:rsid w:val="002F2959"/>
    <w:rsid w:val="002F2F7F"/>
    <w:rsid w:val="002F3711"/>
    <w:rsid w:val="003041CB"/>
    <w:rsid w:val="003065E4"/>
    <w:rsid w:val="0030757D"/>
    <w:rsid w:val="003153E1"/>
    <w:rsid w:val="00320D08"/>
    <w:rsid w:val="00324D36"/>
    <w:rsid w:val="00333B60"/>
    <w:rsid w:val="0033443B"/>
    <w:rsid w:val="00334FA7"/>
    <w:rsid w:val="00337CEB"/>
    <w:rsid w:val="00340450"/>
    <w:rsid w:val="003475A2"/>
    <w:rsid w:val="00351944"/>
    <w:rsid w:val="0035519D"/>
    <w:rsid w:val="00361BD1"/>
    <w:rsid w:val="0037070B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D3132"/>
    <w:rsid w:val="003D3381"/>
    <w:rsid w:val="003E236A"/>
    <w:rsid w:val="003E358B"/>
    <w:rsid w:val="003F1CEF"/>
    <w:rsid w:val="003F6829"/>
    <w:rsid w:val="00401CCE"/>
    <w:rsid w:val="00401FFB"/>
    <w:rsid w:val="004059DF"/>
    <w:rsid w:val="00407664"/>
    <w:rsid w:val="00422CA7"/>
    <w:rsid w:val="004241AA"/>
    <w:rsid w:val="004250C9"/>
    <w:rsid w:val="00426B74"/>
    <w:rsid w:val="00427BC5"/>
    <w:rsid w:val="00437307"/>
    <w:rsid w:val="0044009D"/>
    <w:rsid w:val="00444BAD"/>
    <w:rsid w:val="00456673"/>
    <w:rsid w:val="0046126D"/>
    <w:rsid w:val="00462D35"/>
    <w:rsid w:val="0047146B"/>
    <w:rsid w:val="0047363F"/>
    <w:rsid w:val="004743E8"/>
    <w:rsid w:val="004758B7"/>
    <w:rsid w:val="004811C2"/>
    <w:rsid w:val="00490ADD"/>
    <w:rsid w:val="004951C3"/>
    <w:rsid w:val="0049791B"/>
    <w:rsid w:val="004A6383"/>
    <w:rsid w:val="004B581E"/>
    <w:rsid w:val="004C01B9"/>
    <w:rsid w:val="004D1383"/>
    <w:rsid w:val="004D1E72"/>
    <w:rsid w:val="004D3752"/>
    <w:rsid w:val="004D5E09"/>
    <w:rsid w:val="004E24A2"/>
    <w:rsid w:val="004E6837"/>
    <w:rsid w:val="005004B1"/>
    <w:rsid w:val="00505FFC"/>
    <w:rsid w:val="00510557"/>
    <w:rsid w:val="0051281B"/>
    <w:rsid w:val="00512BF1"/>
    <w:rsid w:val="005150CF"/>
    <w:rsid w:val="005154BF"/>
    <w:rsid w:val="00517B7D"/>
    <w:rsid w:val="00524870"/>
    <w:rsid w:val="005408F9"/>
    <w:rsid w:val="00540EEF"/>
    <w:rsid w:val="005442D2"/>
    <w:rsid w:val="0054790F"/>
    <w:rsid w:val="005508F4"/>
    <w:rsid w:val="00557670"/>
    <w:rsid w:val="005606E3"/>
    <w:rsid w:val="00560A70"/>
    <w:rsid w:val="00571481"/>
    <w:rsid w:val="00571859"/>
    <w:rsid w:val="00576E50"/>
    <w:rsid w:val="00577235"/>
    <w:rsid w:val="005849F3"/>
    <w:rsid w:val="005920D7"/>
    <w:rsid w:val="00594920"/>
    <w:rsid w:val="00597FCF"/>
    <w:rsid w:val="005A1310"/>
    <w:rsid w:val="005A5551"/>
    <w:rsid w:val="005B17F4"/>
    <w:rsid w:val="005B2B01"/>
    <w:rsid w:val="005B3907"/>
    <w:rsid w:val="005C4134"/>
    <w:rsid w:val="005C6D8B"/>
    <w:rsid w:val="005D0EFF"/>
    <w:rsid w:val="005D3D8C"/>
    <w:rsid w:val="005E509C"/>
    <w:rsid w:val="005E6324"/>
    <w:rsid w:val="005F44E0"/>
    <w:rsid w:val="00600292"/>
    <w:rsid w:val="00602FEC"/>
    <w:rsid w:val="0060306F"/>
    <w:rsid w:val="006126CD"/>
    <w:rsid w:val="00616CEC"/>
    <w:rsid w:val="00622CA8"/>
    <w:rsid w:val="00624C57"/>
    <w:rsid w:val="00625040"/>
    <w:rsid w:val="0063282D"/>
    <w:rsid w:val="006429FB"/>
    <w:rsid w:val="00646C82"/>
    <w:rsid w:val="00650AB2"/>
    <w:rsid w:val="0066108D"/>
    <w:rsid w:val="00662680"/>
    <w:rsid w:val="006642B7"/>
    <w:rsid w:val="0067026E"/>
    <w:rsid w:val="006823F1"/>
    <w:rsid w:val="00687A88"/>
    <w:rsid w:val="00693ADE"/>
    <w:rsid w:val="006A726A"/>
    <w:rsid w:val="006A7D1A"/>
    <w:rsid w:val="006B3A6E"/>
    <w:rsid w:val="006B63CD"/>
    <w:rsid w:val="006C2EAB"/>
    <w:rsid w:val="006D1C5A"/>
    <w:rsid w:val="006D2613"/>
    <w:rsid w:val="006D4666"/>
    <w:rsid w:val="006D508F"/>
    <w:rsid w:val="006D736E"/>
    <w:rsid w:val="006E3B45"/>
    <w:rsid w:val="006E7920"/>
    <w:rsid w:val="00701916"/>
    <w:rsid w:val="00703A94"/>
    <w:rsid w:val="00706FAF"/>
    <w:rsid w:val="00711822"/>
    <w:rsid w:val="00712998"/>
    <w:rsid w:val="00712FB7"/>
    <w:rsid w:val="00714FF9"/>
    <w:rsid w:val="00716127"/>
    <w:rsid w:val="007243A3"/>
    <w:rsid w:val="00725959"/>
    <w:rsid w:val="007276F0"/>
    <w:rsid w:val="00730FBC"/>
    <w:rsid w:val="0073240A"/>
    <w:rsid w:val="0074046C"/>
    <w:rsid w:val="00755231"/>
    <w:rsid w:val="007608DB"/>
    <w:rsid w:val="00763BB6"/>
    <w:rsid w:val="0077136D"/>
    <w:rsid w:val="007741C8"/>
    <w:rsid w:val="00781C8B"/>
    <w:rsid w:val="00786CB3"/>
    <w:rsid w:val="007907A8"/>
    <w:rsid w:val="007967D3"/>
    <w:rsid w:val="00797168"/>
    <w:rsid w:val="007A095C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3085F"/>
    <w:rsid w:val="00837FAB"/>
    <w:rsid w:val="00841DCE"/>
    <w:rsid w:val="008420C4"/>
    <w:rsid w:val="00850FDE"/>
    <w:rsid w:val="0085351F"/>
    <w:rsid w:val="00854500"/>
    <w:rsid w:val="00855637"/>
    <w:rsid w:val="008657D0"/>
    <w:rsid w:val="0087486F"/>
    <w:rsid w:val="00876279"/>
    <w:rsid w:val="008778BE"/>
    <w:rsid w:val="00884A2A"/>
    <w:rsid w:val="00890D62"/>
    <w:rsid w:val="00892071"/>
    <w:rsid w:val="0089493C"/>
    <w:rsid w:val="0089658D"/>
    <w:rsid w:val="008A09A1"/>
    <w:rsid w:val="008B4FF0"/>
    <w:rsid w:val="008C18F0"/>
    <w:rsid w:val="008C6603"/>
    <w:rsid w:val="008C79ED"/>
    <w:rsid w:val="008D2A26"/>
    <w:rsid w:val="008F4207"/>
    <w:rsid w:val="008F4A51"/>
    <w:rsid w:val="00902E65"/>
    <w:rsid w:val="00903086"/>
    <w:rsid w:val="00903741"/>
    <w:rsid w:val="009056AE"/>
    <w:rsid w:val="00905A1B"/>
    <w:rsid w:val="00916BD8"/>
    <w:rsid w:val="009174A7"/>
    <w:rsid w:val="00917851"/>
    <w:rsid w:val="00921964"/>
    <w:rsid w:val="00927269"/>
    <w:rsid w:val="00927C54"/>
    <w:rsid w:val="00932589"/>
    <w:rsid w:val="00932CDD"/>
    <w:rsid w:val="00934A5A"/>
    <w:rsid w:val="009374D8"/>
    <w:rsid w:val="00952BE2"/>
    <w:rsid w:val="009557ED"/>
    <w:rsid w:val="00960235"/>
    <w:rsid w:val="00960A6E"/>
    <w:rsid w:val="009613B4"/>
    <w:rsid w:val="009633B3"/>
    <w:rsid w:val="00963DD9"/>
    <w:rsid w:val="00965E5E"/>
    <w:rsid w:val="00977F71"/>
    <w:rsid w:val="00981F74"/>
    <w:rsid w:val="00990A10"/>
    <w:rsid w:val="009965CE"/>
    <w:rsid w:val="00996608"/>
    <w:rsid w:val="009A59B3"/>
    <w:rsid w:val="009A7817"/>
    <w:rsid w:val="009B0CD8"/>
    <w:rsid w:val="009B66BD"/>
    <w:rsid w:val="009D0B7A"/>
    <w:rsid w:val="009D3A38"/>
    <w:rsid w:val="009D487B"/>
    <w:rsid w:val="009D6626"/>
    <w:rsid w:val="009D78E9"/>
    <w:rsid w:val="009D7CAB"/>
    <w:rsid w:val="009E4921"/>
    <w:rsid w:val="009E4A0D"/>
    <w:rsid w:val="009F1A39"/>
    <w:rsid w:val="009F53CC"/>
    <w:rsid w:val="00A0020D"/>
    <w:rsid w:val="00A14D04"/>
    <w:rsid w:val="00A152EA"/>
    <w:rsid w:val="00A22226"/>
    <w:rsid w:val="00A230BC"/>
    <w:rsid w:val="00A24B47"/>
    <w:rsid w:val="00A30125"/>
    <w:rsid w:val="00A311D9"/>
    <w:rsid w:val="00A32F03"/>
    <w:rsid w:val="00A34CAF"/>
    <w:rsid w:val="00A4000A"/>
    <w:rsid w:val="00A40560"/>
    <w:rsid w:val="00A411B5"/>
    <w:rsid w:val="00A512B3"/>
    <w:rsid w:val="00A54A85"/>
    <w:rsid w:val="00A553FF"/>
    <w:rsid w:val="00A5597B"/>
    <w:rsid w:val="00A667E4"/>
    <w:rsid w:val="00A66845"/>
    <w:rsid w:val="00A71A75"/>
    <w:rsid w:val="00A72E55"/>
    <w:rsid w:val="00A7300D"/>
    <w:rsid w:val="00A83E29"/>
    <w:rsid w:val="00A95FDB"/>
    <w:rsid w:val="00A968C8"/>
    <w:rsid w:val="00A979AF"/>
    <w:rsid w:val="00AA14A5"/>
    <w:rsid w:val="00AA3889"/>
    <w:rsid w:val="00AA43CD"/>
    <w:rsid w:val="00AA6EFF"/>
    <w:rsid w:val="00AB11B2"/>
    <w:rsid w:val="00AB40F5"/>
    <w:rsid w:val="00AC0FCF"/>
    <w:rsid w:val="00AC2524"/>
    <w:rsid w:val="00AC3CF3"/>
    <w:rsid w:val="00AD7D28"/>
    <w:rsid w:val="00AE082F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31937"/>
    <w:rsid w:val="00B35929"/>
    <w:rsid w:val="00B379E2"/>
    <w:rsid w:val="00B40C3B"/>
    <w:rsid w:val="00B41C47"/>
    <w:rsid w:val="00B42E99"/>
    <w:rsid w:val="00B5322B"/>
    <w:rsid w:val="00B6358C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3C49"/>
    <w:rsid w:val="00BB433A"/>
    <w:rsid w:val="00BC129A"/>
    <w:rsid w:val="00BC7382"/>
    <w:rsid w:val="00BD40F5"/>
    <w:rsid w:val="00BD69C3"/>
    <w:rsid w:val="00BF1484"/>
    <w:rsid w:val="00BF1794"/>
    <w:rsid w:val="00C06C5C"/>
    <w:rsid w:val="00C25E72"/>
    <w:rsid w:val="00C26098"/>
    <w:rsid w:val="00C30DA1"/>
    <w:rsid w:val="00C33DFD"/>
    <w:rsid w:val="00C35921"/>
    <w:rsid w:val="00C36437"/>
    <w:rsid w:val="00C379DB"/>
    <w:rsid w:val="00C4499C"/>
    <w:rsid w:val="00C46D17"/>
    <w:rsid w:val="00C544C4"/>
    <w:rsid w:val="00C54AF0"/>
    <w:rsid w:val="00C62291"/>
    <w:rsid w:val="00C629E9"/>
    <w:rsid w:val="00C65711"/>
    <w:rsid w:val="00C666D0"/>
    <w:rsid w:val="00C73EE3"/>
    <w:rsid w:val="00C7662F"/>
    <w:rsid w:val="00C805FA"/>
    <w:rsid w:val="00C8100F"/>
    <w:rsid w:val="00C93CB6"/>
    <w:rsid w:val="00C946F8"/>
    <w:rsid w:val="00CA267A"/>
    <w:rsid w:val="00CA2C23"/>
    <w:rsid w:val="00CB2731"/>
    <w:rsid w:val="00CB7B7D"/>
    <w:rsid w:val="00CC09EF"/>
    <w:rsid w:val="00CC1A37"/>
    <w:rsid w:val="00CD7569"/>
    <w:rsid w:val="00CE3753"/>
    <w:rsid w:val="00CE3794"/>
    <w:rsid w:val="00CF297F"/>
    <w:rsid w:val="00D04961"/>
    <w:rsid w:val="00D14432"/>
    <w:rsid w:val="00D17A6A"/>
    <w:rsid w:val="00D21DFC"/>
    <w:rsid w:val="00D27EC4"/>
    <w:rsid w:val="00D370E1"/>
    <w:rsid w:val="00D426A8"/>
    <w:rsid w:val="00D51D7E"/>
    <w:rsid w:val="00D5357E"/>
    <w:rsid w:val="00D5526A"/>
    <w:rsid w:val="00D5570C"/>
    <w:rsid w:val="00D5652B"/>
    <w:rsid w:val="00D61525"/>
    <w:rsid w:val="00D6368A"/>
    <w:rsid w:val="00D63DCD"/>
    <w:rsid w:val="00D66362"/>
    <w:rsid w:val="00D66709"/>
    <w:rsid w:val="00D81267"/>
    <w:rsid w:val="00D83E7A"/>
    <w:rsid w:val="00D90736"/>
    <w:rsid w:val="00D9149A"/>
    <w:rsid w:val="00D92495"/>
    <w:rsid w:val="00DA3154"/>
    <w:rsid w:val="00DA3FCC"/>
    <w:rsid w:val="00DA4792"/>
    <w:rsid w:val="00DB134D"/>
    <w:rsid w:val="00DB2865"/>
    <w:rsid w:val="00DC45E8"/>
    <w:rsid w:val="00DD4847"/>
    <w:rsid w:val="00DF268B"/>
    <w:rsid w:val="00DF36E4"/>
    <w:rsid w:val="00DF563F"/>
    <w:rsid w:val="00E03695"/>
    <w:rsid w:val="00E1762C"/>
    <w:rsid w:val="00E2015C"/>
    <w:rsid w:val="00E233B4"/>
    <w:rsid w:val="00E248A5"/>
    <w:rsid w:val="00E316A4"/>
    <w:rsid w:val="00E35F54"/>
    <w:rsid w:val="00E4191C"/>
    <w:rsid w:val="00E44088"/>
    <w:rsid w:val="00E44CB3"/>
    <w:rsid w:val="00E45FE2"/>
    <w:rsid w:val="00E500DD"/>
    <w:rsid w:val="00E53215"/>
    <w:rsid w:val="00E56CF4"/>
    <w:rsid w:val="00E604AD"/>
    <w:rsid w:val="00E65390"/>
    <w:rsid w:val="00E67188"/>
    <w:rsid w:val="00E6721A"/>
    <w:rsid w:val="00E67B0D"/>
    <w:rsid w:val="00E81D35"/>
    <w:rsid w:val="00E8252B"/>
    <w:rsid w:val="00E9045C"/>
    <w:rsid w:val="00E908C8"/>
    <w:rsid w:val="00E94DC1"/>
    <w:rsid w:val="00EA2F61"/>
    <w:rsid w:val="00EB702A"/>
    <w:rsid w:val="00EB7B4B"/>
    <w:rsid w:val="00EC01BA"/>
    <w:rsid w:val="00EC2818"/>
    <w:rsid w:val="00ED12D5"/>
    <w:rsid w:val="00ED52D6"/>
    <w:rsid w:val="00ED71B1"/>
    <w:rsid w:val="00EE2A2F"/>
    <w:rsid w:val="00EF45AC"/>
    <w:rsid w:val="00F014BD"/>
    <w:rsid w:val="00F03903"/>
    <w:rsid w:val="00F10D4A"/>
    <w:rsid w:val="00F11BAE"/>
    <w:rsid w:val="00F11F84"/>
    <w:rsid w:val="00F1301C"/>
    <w:rsid w:val="00F21EF4"/>
    <w:rsid w:val="00F23337"/>
    <w:rsid w:val="00F24BE8"/>
    <w:rsid w:val="00F261F7"/>
    <w:rsid w:val="00F313FF"/>
    <w:rsid w:val="00F33BAB"/>
    <w:rsid w:val="00F36691"/>
    <w:rsid w:val="00F36D89"/>
    <w:rsid w:val="00F5189E"/>
    <w:rsid w:val="00F52A5E"/>
    <w:rsid w:val="00F5490C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C36BA"/>
    <w:rsid w:val="00FC4C69"/>
    <w:rsid w:val="00FC59FC"/>
    <w:rsid w:val="00FD70B8"/>
    <w:rsid w:val="00FD750E"/>
    <w:rsid w:val="00FD7A84"/>
    <w:rsid w:val="00FE3945"/>
    <w:rsid w:val="00FE470C"/>
    <w:rsid w:val="00FE74F3"/>
    <w:rsid w:val="00FF275A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7EC4"/>
    <w:rPr>
      <w:rFonts w:cs="Times New Roman"/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basedOn w:val="DefaultParagraphFont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D27EC4"/>
    <w:rPr>
      <w:rFonts w:ascii="Courier New" w:hAnsi="Courier New" w:cs="Courier New"/>
      <w:snapToGrid w:val="0"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locked/>
    <w:rsid w:val="00D27EC4"/>
    <w:rPr>
      <w:rFonts w:ascii="Courier New" w:hAnsi="Courier New" w:cs="Courier New"/>
      <w:snapToGrid w:val="0"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D27EC4"/>
    <w:rPr>
      <w:rFonts w:ascii="Courier New" w:hAnsi="Courier New" w:cs="Courier New"/>
      <w:b/>
      <w:bCs/>
      <w:snapToGrid w:val="0"/>
      <w:color w:val="000000"/>
      <w:sz w:val="16"/>
    </w:rPr>
  </w:style>
  <w:style w:type="character" w:styleId="Hyperlink">
    <w:name w:val="Hyperlink"/>
    <w:basedOn w:val="DefaultParagraphFont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basedOn w:val="DefaultParagraphFont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basedOn w:val="DefaultParagraphFont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basedOn w:val="DefaultParagraphFont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1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gateway.org/LinkClick.aspx?fileticket=UanKpDrdcnk%3d&amp;tab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1418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9404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2</cp:revision>
  <cp:lastPrinted>2012-01-05T19:10:00Z</cp:lastPrinted>
  <dcterms:created xsi:type="dcterms:W3CDTF">2012-03-01T18:21:00Z</dcterms:created>
  <dcterms:modified xsi:type="dcterms:W3CDTF">2012-03-01T18:21:00Z</dcterms:modified>
</cp:coreProperties>
</file>